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43139" w14:textId="309F0AB7" w:rsidR="00FA2667" w:rsidRDefault="00DC04DC">
      <w:pPr>
        <w:jc w:val="both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2243BCF3" wp14:editId="0E923F5B">
            <wp:extent cx="5733415" cy="2721610"/>
            <wp:effectExtent l="0" t="0" r="635" b="2540"/>
            <wp:docPr id="395002011" name="Рисунок 3" descr="New South Wales leads the charge on renewable energy - Law Society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South Wales leads the charge on renewable energy - Law Society Journ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B38D" w14:textId="77777777" w:rsidR="003438DF" w:rsidRDefault="003438DF">
      <w:pPr>
        <w:jc w:val="both"/>
        <w:rPr>
          <w:rFonts w:asciiTheme="minorHAnsi" w:hAnsiTheme="minorHAnsi"/>
          <w:sz w:val="24"/>
          <w:szCs w:val="24"/>
        </w:rPr>
      </w:pPr>
    </w:p>
    <w:p w14:paraId="1227BD74" w14:textId="00EB1BA8" w:rsidR="00977388" w:rsidRPr="00343C10" w:rsidRDefault="00000000">
      <w:pPr>
        <w:jc w:val="both"/>
        <w:rPr>
          <w:rFonts w:asciiTheme="minorHAnsi" w:hAnsiTheme="minorHAnsi"/>
          <w:sz w:val="24"/>
          <w:szCs w:val="24"/>
        </w:rPr>
      </w:pPr>
      <w:r w:rsidRPr="00343C10">
        <w:rPr>
          <w:rFonts w:asciiTheme="minorHAnsi" w:hAnsiTheme="minorHAnsi"/>
          <w:sz w:val="24"/>
          <w:szCs w:val="24"/>
        </w:rPr>
        <w:t>Короткий зміст: законодавство ЄС налічує давню історію та містить чимало актів, спрямованих на розвиток чистої енергетики та альтернативних видів палива.</w:t>
      </w:r>
    </w:p>
    <w:p w14:paraId="1227BD75" w14:textId="737865C1" w:rsidR="00977388" w:rsidRPr="005758DB" w:rsidRDefault="006802DF">
      <w:pPr>
        <w:pBdr>
          <w:top w:val="none" w:sz="0" w:space="6" w:color="auto"/>
          <w:bottom w:val="none" w:sz="0" w:space="6" w:color="auto"/>
          <w:between w:val="none" w:sz="0" w:space="6" w:color="auto"/>
        </w:pBdr>
        <w:spacing w:line="212" w:lineRule="auto"/>
        <w:jc w:val="both"/>
        <w:rPr>
          <w:rFonts w:asciiTheme="minorHAnsi" w:eastAsia="Verdana" w:hAnsiTheme="minorHAnsi" w:cs="Verdana"/>
          <w:bCs/>
          <w:color w:val="333333"/>
          <w:sz w:val="24"/>
          <w:szCs w:val="24"/>
          <w:lang w:val="uk-UA"/>
        </w:rPr>
      </w:pPr>
      <w:r w:rsidRPr="006802DF">
        <w:rPr>
          <w:rFonts w:asciiTheme="minorHAnsi" w:eastAsia="Verdana" w:hAnsiTheme="minorHAnsi" w:cs="Verdana"/>
          <w:bCs/>
          <w:color w:val="333333"/>
          <w:sz w:val="24"/>
          <w:szCs w:val="24"/>
          <w:lang w:val="uk-UA"/>
        </w:rPr>
        <w:t>Теги:</w:t>
      </w:r>
      <w:r>
        <w:rPr>
          <w:rFonts w:asciiTheme="minorHAnsi" w:eastAsia="Verdana" w:hAnsiTheme="minorHAnsi" w:cs="Verdana"/>
          <w:bCs/>
          <w:color w:val="333333"/>
          <w:sz w:val="24"/>
          <w:szCs w:val="24"/>
          <w:lang w:val="uk-UA"/>
        </w:rPr>
        <w:t xml:space="preserve"> відновлювана енергетика, біо</w:t>
      </w:r>
      <w:r w:rsidR="00482991">
        <w:rPr>
          <w:rFonts w:asciiTheme="minorHAnsi" w:eastAsia="Verdana" w:hAnsiTheme="minorHAnsi" w:cs="Verdana"/>
          <w:bCs/>
          <w:color w:val="333333"/>
          <w:sz w:val="24"/>
          <w:szCs w:val="24"/>
          <w:lang w:val="uk-UA"/>
        </w:rPr>
        <w:t>енергетика, гарантії походження енергії, сонячна енергетик</w:t>
      </w:r>
      <w:r w:rsidR="00FA2667">
        <w:rPr>
          <w:rFonts w:asciiTheme="minorHAnsi" w:eastAsia="Verdana" w:hAnsiTheme="minorHAnsi" w:cs="Verdana"/>
          <w:bCs/>
          <w:color w:val="333333"/>
          <w:sz w:val="24"/>
          <w:szCs w:val="24"/>
          <w:lang w:val="en-US"/>
        </w:rPr>
        <w:t>a</w:t>
      </w:r>
      <w:r w:rsidR="005758DB">
        <w:rPr>
          <w:rFonts w:asciiTheme="minorHAnsi" w:eastAsia="Verdana" w:hAnsiTheme="minorHAnsi" w:cs="Verdana"/>
          <w:bCs/>
          <w:color w:val="333333"/>
          <w:sz w:val="24"/>
          <w:szCs w:val="24"/>
          <w:lang w:val="uk-UA"/>
        </w:rPr>
        <w:t>, 4-й Енергетичний пакет</w:t>
      </w:r>
    </w:p>
    <w:p w14:paraId="1227BD77" w14:textId="77777777" w:rsidR="00977388" w:rsidRPr="00343C10" w:rsidRDefault="00000000">
      <w:pPr>
        <w:pBdr>
          <w:top w:val="none" w:sz="0" w:space="6" w:color="auto"/>
          <w:bottom w:val="none" w:sz="0" w:space="6" w:color="auto"/>
          <w:between w:val="none" w:sz="0" w:space="6" w:color="auto"/>
        </w:pBdr>
        <w:spacing w:line="212" w:lineRule="auto"/>
        <w:jc w:val="both"/>
        <w:rPr>
          <w:rFonts w:asciiTheme="minorHAnsi" w:eastAsia="Verdana" w:hAnsiTheme="minorHAnsi" w:cs="Verdana"/>
          <w:b/>
          <w:color w:val="333333"/>
          <w:sz w:val="24"/>
          <w:szCs w:val="24"/>
        </w:rPr>
      </w:pPr>
      <w:r w:rsidRPr="00343C10">
        <w:rPr>
          <w:rFonts w:asciiTheme="minorHAnsi" w:eastAsia="Verdana" w:hAnsiTheme="minorHAnsi" w:cs="Verdana"/>
          <w:b/>
          <w:color w:val="333333"/>
          <w:sz w:val="24"/>
          <w:szCs w:val="24"/>
        </w:rPr>
        <w:t>Директиви ЄС у сфері відновлюваної енергетики та альтернативних видів палива</w:t>
      </w:r>
    </w:p>
    <w:p w14:paraId="1227BD78" w14:textId="77777777" w:rsidR="00977388" w:rsidRPr="00343C10" w:rsidRDefault="00000000">
      <w:pPr>
        <w:numPr>
          <w:ilvl w:val="0"/>
          <w:numId w:val="1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pacing w:line="195" w:lineRule="auto"/>
        <w:jc w:val="both"/>
        <w:rPr>
          <w:rFonts w:asciiTheme="minorHAnsi" w:hAnsiTheme="minorHAnsi"/>
          <w:color w:val="333333"/>
          <w:sz w:val="24"/>
          <w:szCs w:val="24"/>
        </w:rPr>
      </w:pPr>
      <w:hyperlink r:id="rId6">
        <w:r w:rsidRPr="00343C10">
          <w:rPr>
            <w:rFonts w:asciiTheme="minorHAnsi" w:eastAsia="Verdana" w:hAnsiTheme="minorHAnsi" w:cs="Verdana"/>
            <w:color w:val="333333"/>
            <w:sz w:val="24"/>
            <w:szCs w:val="24"/>
            <w:u w:val="single"/>
          </w:rPr>
          <w:t>Директива Європейського Парламенту та Ради 2009/28/ЄС від 23 квітня 2009 року «Про заохочення до використання енергії, виробленої з відновлюваних джерел та якою вносяться зміни до, а в подальшому скасовуються Директиви 2001/77/ЄС та 2003/30/ЄС»</w:t>
        </w:r>
      </w:hyperlink>
    </w:p>
    <w:p w14:paraId="1227BD79" w14:textId="77777777" w:rsidR="00977388" w:rsidRPr="00343C10" w:rsidRDefault="00000000">
      <w:pPr>
        <w:numPr>
          <w:ilvl w:val="0"/>
          <w:numId w:val="1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pacing w:line="195" w:lineRule="auto"/>
        <w:jc w:val="both"/>
        <w:rPr>
          <w:rFonts w:asciiTheme="minorHAnsi" w:hAnsiTheme="minorHAnsi"/>
          <w:color w:val="333333"/>
          <w:sz w:val="24"/>
          <w:szCs w:val="24"/>
        </w:rPr>
      </w:pPr>
      <w:hyperlink r:id="rId7">
        <w:r w:rsidRPr="00343C10">
          <w:rPr>
            <w:rFonts w:asciiTheme="minorHAnsi" w:eastAsia="Verdana" w:hAnsiTheme="minorHAnsi" w:cs="Verdana"/>
            <w:color w:val="333333"/>
            <w:sz w:val="24"/>
            <w:szCs w:val="24"/>
            <w:u w:val="single"/>
          </w:rPr>
          <w:t>Директива Європейського Парламенту та Ради 2018/2001 від 11 грудня 2018 року «Про заохочення використання енергії з відновлюваних джерел»</w:t>
        </w:r>
      </w:hyperlink>
    </w:p>
    <w:p w14:paraId="1227BD7A" w14:textId="77777777" w:rsidR="00977388" w:rsidRPr="006802DF" w:rsidRDefault="00000000">
      <w:pPr>
        <w:numPr>
          <w:ilvl w:val="0"/>
          <w:numId w:val="1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pacing w:line="195" w:lineRule="auto"/>
        <w:jc w:val="both"/>
        <w:rPr>
          <w:rFonts w:asciiTheme="minorHAnsi" w:hAnsiTheme="minorHAnsi"/>
          <w:color w:val="000000" w:themeColor="text1"/>
          <w:sz w:val="24"/>
          <w:szCs w:val="24"/>
          <w:u w:val="single"/>
        </w:rPr>
      </w:pPr>
      <w:hyperlink r:id="rId8" w:anchor="Text">
        <w:r w:rsidRPr="006802DF">
          <w:rPr>
            <w:rFonts w:asciiTheme="minorHAnsi" w:eastAsia="Verdana" w:hAnsiTheme="minorHAnsi" w:cs="Verdana"/>
            <w:color w:val="000000" w:themeColor="text1"/>
            <w:sz w:val="24"/>
            <w:szCs w:val="24"/>
            <w:u w:val="single"/>
          </w:rPr>
          <w:t>Директива Європейського Парламенту і Ради 2012/27/ЄС від 25 жовтня 2012 року про енергоефективність, внесення змін до директив 2009/125/ЄС і 2010/30/ЄС та про скасування директив 2004/8/ЄС і 2006/32/ЄС</w:t>
        </w:r>
      </w:hyperlink>
    </w:p>
    <w:p w14:paraId="1227BD7B" w14:textId="77777777" w:rsidR="00977388" w:rsidRPr="00343C10" w:rsidRDefault="00977388">
      <w:pPr>
        <w:jc w:val="both"/>
        <w:rPr>
          <w:rFonts w:asciiTheme="minorHAnsi" w:hAnsiTheme="minorHAnsi"/>
          <w:sz w:val="24"/>
          <w:szCs w:val="24"/>
        </w:rPr>
      </w:pPr>
    </w:p>
    <w:p w14:paraId="1227BD7C" w14:textId="00372721" w:rsidR="00977388" w:rsidRDefault="00DC04DC">
      <w:pPr>
        <w:jc w:val="both"/>
        <w:rPr>
          <w:rFonts w:asciiTheme="minorHAnsi" w:hAnsiTheme="minorHAnsi"/>
          <w:sz w:val="24"/>
          <w:szCs w:val="24"/>
          <w:lang w:val="uk-UA"/>
        </w:rPr>
      </w:pPr>
      <w:r>
        <w:rPr>
          <w:rFonts w:asciiTheme="minorHAnsi" w:hAnsiTheme="minorHAnsi"/>
          <w:sz w:val="24"/>
          <w:szCs w:val="24"/>
          <w:lang w:val="uk-UA"/>
        </w:rPr>
        <w:t>Інші акти у сфері ЄС у сфері відновлюваної енергетики:</w:t>
      </w:r>
    </w:p>
    <w:p w14:paraId="0A85DDC3" w14:textId="77777777" w:rsidR="00DC04DC" w:rsidRPr="00DC04DC" w:rsidRDefault="00DC04DC">
      <w:pPr>
        <w:jc w:val="both"/>
        <w:rPr>
          <w:rFonts w:asciiTheme="minorHAnsi" w:hAnsiTheme="minorHAnsi"/>
          <w:sz w:val="24"/>
          <w:szCs w:val="24"/>
          <w:lang w:val="uk-UA"/>
        </w:rPr>
      </w:pPr>
    </w:p>
    <w:p w14:paraId="1227BD7D" w14:textId="77777777" w:rsidR="00977388" w:rsidRPr="00343C10" w:rsidRDefault="00000000">
      <w:pPr>
        <w:jc w:val="both"/>
        <w:rPr>
          <w:rFonts w:asciiTheme="minorHAnsi" w:hAnsiTheme="minorHAnsi"/>
          <w:sz w:val="24"/>
          <w:szCs w:val="24"/>
        </w:rPr>
      </w:pPr>
      <w:proofErr w:type="spellStart"/>
      <w:r w:rsidRPr="00343C10">
        <w:rPr>
          <w:rFonts w:asciiTheme="minorHAnsi" w:hAnsiTheme="minorHAnsi"/>
          <w:sz w:val="24"/>
          <w:szCs w:val="24"/>
        </w:rPr>
        <w:t>Імплементаційний</w:t>
      </w:r>
      <w:proofErr w:type="spellEnd"/>
      <w:r w:rsidRPr="00343C10">
        <w:rPr>
          <w:rFonts w:asciiTheme="minorHAnsi" w:hAnsiTheme="minorHAnsi"/>
          <w:sz w:val="24"/>
          <w:szCs w:val="24"/>
        </w:rPr>
        <w:t xml:space="preserve"> Регламент Комісії (ЄС) 2022/996 від 14 червня 2022 року щодо правил перевірки критеріїв стійкості та зниження викидів парникових газів і низьких критеріїв непрямого ризику зміни землекористування</w:t>
      </w:r>
    </w:p>
    <w:p w14:paraId="1227BD7E" w14:textId="77777777" w:rsidR="00977388" w:rsidRPr="00343C10" w:rsidRDefault="00000000">
      <w:pPr>
        <w:jc w:val="both"/>
        <w:rPr>
          <w:rFonts w:asciiTheme="minorHAnsi" w:hAnsiTheme="minorHAnsi"/>
          <w:sz w:val="24"/>
          <w:szCs w:val="24"/>
        </w:rPr>
      </w:pPr>
      <w:hyperlink r:id="rId9">
        <w:r w:rsidRPr="00343C10">
          <w:rPr>
            <w:rFonts w:asciiTheme="minorHAnsi" w:hAnsiTheme="minorHAnsi"/>
            <w:color w:val="1155CC"/>
            <w:sz w:val="24"/>
            <w:szCs w:val="24"/>
            <w:u w:val="single"/>
          </w:rPr>
          <w:t>https://eur-lex.europa.eu/legal-content/en/TXT/?uri=CELEX:32022R0996</w:t>
        </w:r>
      </w:hyperlink>
    </w:p>
    <w:p w14:paraId="1227BD7F" w14:textId="77777777" w:rsidR="00977388" w:rsidRPr="00343C10" w:rsidRDefault="00977388">
      <w:pPr>
        <w:jc w:val="both"/>
        <w:rPr>
          <w:rFonts w:asciiTheme="minorHAnsi" w:hAnsiTheme="minorHAnsi"/>
          <w:sz w:val="24"/>
          <w:szCs w:val="24"/>
        </w:rPr>
      </w:pPr>
    </w:p>
    <w:p w14:paraId="1227BD80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t>Рішення Комісії 2008/952/ЄС від 19.11.2008 про встановлення детальних настанов для імплементації та застосування додатка II до Директиви Європейського Парламенту і Ради 2004/8/ЄС;</w:t>
      </w:r>
    </w:p>
    <w:p w14:paraId="1227BD81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hyperlink r:id="rId10">
        <w:r w:rsidRPr="00343C10">
          <w:rPr>
            <w:rFonts w:asciiTheme="minorHAnsi" w:hAnsiTheme="minorHAnsi"/>
            <w:color w:val="1155CC"/>
            <w:sz w:val="24"/>
            <w:szCs w:val="24"/>
            <w:highlight w:val="white"/>
            <w:u w:val="single"/>
          </w:rPr>
          <w:t>https://eur-lex.europa.eu/eli/dec/2008/952/oj</w:t>
        </w:r>
      </w:hyperlink>
    </w:p>
    <w:p w14:paraId="1227BD82" w14:textId="77777777" w:rsidR="00977388" w:rsidRPr="00343C10" w:rsidRDefault="00977388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</w:p>
    <w:p w14:paraId="1227BD83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lastRenderedPageBreak/>
        <w:t xml:space="preserve">Делегований Регламенту Комісії (ЄС) 2015/2402 від 12.10.2015 про перегляд узгоджених референтних значень ефективності для роздільного виробництва електроенергії та тепла в рамках Директиви Європейського Парламенту і Ради 2012/27/ЄС та скасування </w:t>
      </w:r>
      <w:proofErr w:type="spellStart"/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t>Імплементаційного</w:t>
      </w:r>
      <w:proofErr w:type="spellEnd"/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t xml:space="preserve"> Рішення Комісії 2011/877/ЄС.</w:t>
      </w:r>
    </w:p>
    <w:p w14:paraId="1227BD84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hyperlink r:id="rId11">
        <w:r w:rsidRPr="00343C10">
          <w:rPr>
            <w:rFonts w:asciiTheme="minorHAnsi" w:hAnsiTheme="minorHAnsi"/>
            <w:color w:val="1155CC"/>
            <w:sz w:val="24"/>
            <w:szCs w:val="24"/>
            <w:highlight w:val="white"/>
            <w:u w:val="single"/>
          </w:rPr>
          <w:t>https://eur-lex.europa.eu/eli/reg_del/2015/2402/oj</w:t>
        </w:r>
      </w:hyperlink>
    </w:p>
    <w:p w14:paraId="1227BD85" w14:textId="77777777" w:rsidR="00977388" w:rsidRPr="00343C10" w:rsidRDefault="00977388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</w:p>
    <w:p w14:paraId="1227BD86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t>Рішення Енергетичного Співтовариства щодо імплементації “Четвертого енергетичного пакету</w:t>
      </w:r>
    </w:p>
    <w:p w14:paraId="1227BD87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hyperlink r:id="rId12"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Decision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2021/14/MC-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EnC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amending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Article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20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and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Annex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I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to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the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Treaty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establishing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the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Energy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Community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and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incorporating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Directive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(EU) 2018/2001,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Directive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(EU) 2018/2002,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Regulation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(EU) 2018/1999,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Delegated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Regulation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(EU) 2020/1044,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and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Implementing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Regulation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(EU) 2020/1208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in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the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Energy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Community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acquis</w:t>
        </w:r>
        <w:proofErr w:type="spellEnd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83583"/>
            <w:sz w:val="24"/>
            <w:szCs w:val="24"/>
            <w:highlight w:val="white"/>
            <w:u w:val="single"/>
          </w:rPr>
          <w:t>communautaire</w:t>
        </w:r>
        <w:proofErr w:type="spellEnd"/>
      </w:hyperlink>
    </w:p>
    <w:p w14:paraId="1227BD88" w14:textId="77777777" w:rsidR="00977388" w:rsidRPr="00343C10" w:rsidRDefault="00977388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</w:p>
    <w:p w14:paraId="1227BD89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t>Рішення Енергетичного Співтовариства щодо цілей декарбонізації (</w:t>
      </w:r>
      <w:proofErr w:type="spellStart"/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t>енергоефективніть</w:t>
      </w:r>
      <w:proofErr w:type="spellEnd"/>
      <w:r w:rsidRPr="00343C10">
        <w:rPr>
          <w:rFonts w:asciiTheme="minorHAnsi" w:hAnsiTheme="minorHAnsi"/>
          <w:color w:val="222222"/>
          <w:sz w:val="24"/>
          <w:szCs w:val="24"/>
          <w:highlight w:val="white"/>
        </w:rPr>
        <w:t>, ВДЕ, викиди)</w:t>
      </w:r>
    </w:p>
    <w:p w14:paraId="1227BD8A" w14:textId="77777777" w:rsidR="00977388" w:rsidRPr="00343C10" w:rsidRDefault="00000000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  <w:hyperlink r:id="rId13"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Decision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2022/02/MC-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EnC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on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amending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Decision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2021/14/MC-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EnC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and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incorporating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Directives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(EU) 2018/2001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and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2013/2002,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Regulations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(EU) 2018/1999, 2020/1044,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and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2020/1208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in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the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Energy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Community</w:t>
        </w:r>
        <w:proofErr w:type="spellEnd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343C10">
          <w:rPr>
            <w:rFonts w:asciiTheme="minorHAnsi" w:eastAsia="Roboto" w:hAnsiTheme="minorHAnsi" w:cs="Roboto"/>
            <w:color w:val="222E71"/>
            <w:sz w:val="24"/>
            <w:szCs w:val="24"/>
            <w:highlight w:val="white"/>
            <w:u w:val="single"/>
          </w:rPr>
          <w:t>acquis</w:t>
        </w:r>
        <w:proofErr w:type="spellEnd"/>
      </w:hyperlink>
    </w:p>
    <w:p w14:paraId="1227BD8B" w14:textId="77777777" w:rsidR="00977388" w:rsidRPr="00343C10" w:rsidRDefault="00977388">
      <w:pPr>
        <w:jc w:val="both"/>
        <w:rPr>
          <w:rFonts w:asciiTheme="minorHAnsi" w:hAnsiTheme="minorHAnsi"/>
          <w:color w:val="222222"/>
          <w:sz w:val="24"/>
          <w:szCs w:val="24"/>
          <w:highlight w:val="white"/>
        </w:rPr>
      </w:pPr>
    </w:p>
    <w:p w14:paraId="1227BD8C" w14:textId="77777777" w:rsidR="00977388" w:rsidRPr="00343C10" w:rsidRDefault="00977388">
      <w:pPr>
        <w:rPr>
          <w:rFonts w:asciiTheme="minorHAnsi" w:hAnsiTheme="minorHAnsi"/>
          <w:color w:val="222222"/>
          <w:sz w:val="24"/>
          <w:szCs w:val="24"/>
          <w:highlight w:val="white"/>
        </w:rPr>
      </w:pPr>
    </w:p>
    <w:sectPr w:rsidR="00977388" w:rsidRPr="00343C10" w:rsidSect="003F7AE3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B0A59"/>
    <w:multiLevelType w:val="multilevel"/>
    <w:tmpl w:val="393AEA9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53510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388"/>
    <w:rsid w:val="003438DF"/>
    <w:rsid w:val="00343C10"/>
    <w:rsid w:val="003F7AE3"/>
    <w:rsid w:val="00482991"/>
    <w:rsid w:val="005758DB"/>
    <w:rsid w:val="006802DF"/>
    <w:rsid w:val="00977388"/>
    <w:rsid w:val="009B3FD4"/>
    <w:rsid w:val="00A31D95"/>
    <w:rsid w:val="00DC04DC"/>
    <w:rsid w:val="00FA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BD74"/>
  <w15:docId w15:val="{75EDC727-12DB-4658-83BD-448431D5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984_017-12" TargetMode="External"/><Relationship Id="rId13" Type="http://schemas.openxmlformats.org/officeDocument/2006/relationships/hyperlink" Target="https://www.energy-community.org/dam/jcr:421f0dca-1b16-4bb5-af86-067bc35fe073/Decision_02-2022-MC_CEP_2030targets_15122022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ps.ligazakon.net/document/MU09267" TargetMode="External"/><Relationship Id="rId12" Type="http://schemas.openxmlformats.org/officeDocument/2006/relationships/hyperlink" Target="https://www.energy-community.org/dam/jcr:c755f9db-f6e7-448c-9cf5-0a5f02113ae2/19thMCDecision14_CEPII_3011202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ps.ligazakon.net/document/MU09267" TargetMode="External"/><Relationship Id="rId11" Type="http://schemas.openxmlformats.org/officeDocument/2006/relationships/hyperlink" Target="https://eur-lex.europa.eu/eli/reg_del/2015/2402/oj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eur-lex.europa.eu/eli/dec/2008/952/o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-lex.europa.eu/legal-content/en/TXT/?uri=CELEX:32022R099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2077</Words>
  <Characters>1184</Characters>
  <Application>Microsoft Office Word</Application>
  <DocSecurity>0</DocSecurity>
  <Lines>9</Lines>
  <Paragraphs>6</Paragraphs>
  <ScaleCrop>false</ScaleCrop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Mariia Malaiia SAEE</cp:lastModifiedBy>
  <cp:revision>11</cp:revision>
  <dcterms:created xsi:type="dcterms:W3CDTF">2023-10-24T07:08:00Z</dcterms:created>
  <dcterms:modified xsi:type="dcterms:W3CDTF">2023-10-24T07:25:00Z</dcterms:modified>
</cp:coreProperties>
</file>